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A2221F">
      <w:pPr>
        <w:pStyle w:val="3"/>
        <w:jc w:val="center"/>
      </w:pPr>
      <w:r>
        <w:t>报价系统逻辑问题汇报说明（v4）</w:t>
      </w:r>
    </w:p>
    <w:p w14:paraId="41CB1191">
      <w:pPr>
        <w:pStyle w:val="4"/>
      </w:pPr>
      <w:r>
        <w:t>一、当前维护方式与系统逻辑问题（核心）</w:t>
      </w:r>
    </w:p>
    <w:p w14:paraId="670B1F9E">
      <w:r>
        <w:t>我们已引入 影刀 RPA 自动化流程 协助报价维护，并在两台电脑并行运行，显著减少人工录入错误、提升维护效率。但由于系统存在“报价切换空档”的逻辑问题，即使使用 RPA，也无法从根本上避免报价断层。</w:t>
      </w:r>
    </w:p>
    <w:p w14:paraId="3AD80CED">
      <w:r>
        <w:t>为尽量缩短空档时间，我们不得不持续加快维护速度；一旦滞后，就会陷入恶性循环：</w:t>
      </w:r>
    </w:p>
    <w:p w14:paraId="4DC34CB9">
      <w:r>
        <w:t>客户在旧报价失效、新报价未生效期间下单 → 系统自动使用上一个报价版本 → 价格错误或报错。</w:t>
      </w:r>
    </w:p>
    <w:p w14:paraId="7D17DF1C">
      <w:r>
        <w:t>即便事后维护了新报价，空档期内产生的订单仍需人工逐单处理，且需与财务、跟单员反复沟通修正与补录，工作量与风险都很高。</w:t>
      </w:r>
    </w:p>
    <w:p w14:paraId="78239D8C"/>
    <w:p w14:paraId="27390BB0">
      <w:r>
        <w:drawing>
          <wp:inline distT="0" distB="0" distL="114300" distR="114300">
            <wp:extent cx="5486400" cy="175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36F1">
      <w:r>
        <w:rPr>
          <w:i/>
        </w:rPr>
        <w:t>图1  历史报价记录示例：可见“使用日期”与“更新时间”不一致，存在旧价结束 → 新价未生效的空档。</w:t>
      </w:r>
    </w:p>
    <w:p w14:paraId="03627FCC">
      <w:pPr>
        <w:pStyle w:val="4"/>
        <w:bidi w:val="0"/>
      </w:pPr>
      <w:r>
        <w:t>二、其他关联问题（Bug 反馈汇总）</w:t>
      </w:r>
    </w:p>
    <w:p w14:paraId="2D728DA7">
      <w:pPr>
        <w:pStyle w:val="5"/>
      </w:pPr>
      <w:r>
        <w:t>🐞 Bug 1：分区报价逻辑不固定，维护需频繁人工调整</w:t>
      </w:r>
    </w:p>
    <w:p w14:paraId="4D643982">
      <w:r>
        <w:t>安速按分区（Zone）维护报价，但业务侧分区规则会变动：例如今天 1~5 区同价，明天改为 3~6 区同价。系统缺少“分区模板/规则继承/批量重组”能力，维护时只能手工拆分与合并分区，耗时且易错；RPA 脚本也因分区变化频繁失效。</w:t>
      </w:r>
    </w:p>
    <w:p w14:paraId="09A72B5C">
      <w:r>
        <w:drawing>
          <wp:inline distT="0" distB="0" distL="114300" distR="114300">
            <wp:extent cx="5486400" cy="2530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48FC">
      <w:r>
        <w:rPr>
          <w:i/>
        </w:rPr>
        <w:t>图2  分区按组维护的页面：同组分区需共享单价，一旦组合变动需人工重组。</w:t>
      </w:r>
    </w:p>
    <w:p w14:paraId="56588884">
      <w:r>
        <w:drawing>
          <wp:inline distT="0" distB="0" distL="114300" distR="114300">
            <wp:extent cx="2011680" cy="8204835"/>
            <wp:effectExtent l="0" t="0" r="762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82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5992">
      <w:r>
        <w:rPr>
          <w:i/>
        </w:rPr>
        <w:t>图3  Excel 示例：不同分区价格存在批次差异，系统端难以一键匹配新的区间分组。</w:t>
      </w:r>
    </w:p>
    <w:p w14:paraId="07DC801A">
      <w:pPr>
        <w:pStyle w:val="5"/>
      </w:pPr>
      <w:r>
        <w:t>🐞 Bug 2：整段录入不准确，批量导入价格错位</w:t>
      </w:r>
    </w:p>
    <w:p w14:paraId="1C535453">
      <w:r>
        <w:t>理论上安速支持整段录入，但当一个渠道包含 300+ 分区时，常出现价格与分区的对应关系错位（前几行正常，随后行发生偏移），导致导入后价格不准确。每次导入都需要人工逐行核对，RPA 也无法判断错位是否发生。</w:t>
      </w:r>
    </w:p>
    <w:p w14:paraId="37163EA6">
      <w:r>
        <w:drawing>
          <wp:inline distT="0" distB="0" distL="114300" distR="114300">
            <wp:extent cx="5486400" cy="2680335"/>
            <wp:effectExtent l="0" t="0" r="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BF30">
      <w:r>
        <w:rPr>
          <w:i/>
        </w:rPr>
        <w:t>图4  报价 Excel 表（渠道含大量分区）。</w:t>
      </w:r>
    </w:p>
    <w:p w14:paraId="18FE0613">
      <w:r>
        <w:drawing>
          <wp:inline distT="0" distB="0" distL="114300" distR="114300">
            <wp:extent cx="5486400" cy="4688205"/>
            <wp:effectExtent l="0" t="0" r="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ECED">
      <w:r>
        <w:rPr>
          <w:i/>
        </w:rPr>
        <w:t>图5  系统录入界面对应区间：导入后部分分区单价发生偏移。</w:t>
      </w:r>
    </w:p>
    <w:p w14:paraId="67374983">
      <w:r>
        <w:drawing>
          <wp:inline distT="0" distB="0" distL="114300" distR="114300">
            <wp:extent cx="5486400" cy="12534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026A4">
      <w:r>
        <w:rPr>
          <w:i/>
        </w:rPr>
        <w:t>图6  Excel 端城市/邮编示例。</w:t>
      </w:r>
    </w:p>
    <w:p w14:paraId="284F378A">
      <w:r>
        <w:drawing>
          <wp:inline distT="0" distB="0" distL="114300" distR="114300">
            <wp:extent cx="5486400" cy="8096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BE55">
      <w:r>
        <w:rPr>
          <w:i/>
        </w:rPr>
        <w:t>图7  系统端对应城市字段：需要逐行对比校验，极耗时。</w:t>
      </w:r>
    </w:p>
    <w:p w14:paraId="3B52EBD9">
      <w:pPr>
        <w:pStyle w:val="5"/>
      </w:pPr>
      <w:r>
        <w:t>🐞 Bug 3：系统不支持增量插入分区，新增行需整表重录</w:t>
      </w:r>
    </w:p>
    <w:p w14:paraId="672D8AB5">
      <w:r>
        <w:t>当业务在 Excel 中于第 66 行插入一个新的仓库代码（或新增分区）时，系统无法识别“插入行”操作；目前只能删除原有所有分区、从第一行开始重录整表。对于“美国海运-纽约07-08邮编 商业/私人地址”等单渠道 300+ 地址的场景，改一行就要重录几百行，工作量巨大且风险极高。该问题与 Bug 2 本质同源。</w:t>
      </w:r>
    </w:p>
    <w:p w14:paraId="752E1A6A">
      <w:pPr>
        <w:pStyle w:val="5"/>
      </w:pPr>
      <w:r>
        <w:t>🐞 Bug 4：批量保存时报错，导致报价维护中断，引发业务与财务投诉</w:t>
      </w:r>
    </w:p>
    <w:p w14:paraId="40636E23">
      <w:r>
        <w:t>在安速进行一次性批量修改与保存时，系统报错：java.sql.BatchUpdateException: Data truncation: Data too long for column 'condition_desc' at row 1。该问题在 10 月 28 日首次发现并上报，至 10 月 29 日下午才修复，期间两天的报价均无法维护，导致业务与财务集中投诉。</w:t>
      </w:r>
    </w:p>
    <w:p w14:paraId="011E814A">
      <w:r>
        <w:drawing>
          <wp:inline distT="0" distB="0" distL="114300" distR="114300">
            <wp:extent cx="5486400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49E4">
      <w:r>
        <w:rPr>
          <w:i/>
        </w:rPr>
        <w:t>图8  报错页面照片：批量保存失败，系统提示数据库字段 Data Truncation。</w:t>
      </w:r>
    </w:p>
    <w:p w14:paraId="02E2FCAE">
      <w:r>
        <w:t>影响范围：报价维护中断；业务无法按时下单；财务审单与对账结算受阻；恢复后还需人工补录历史数据。</w:t>
      </w:r>
    </w:p>
    <w:p w14:paraId="116F6E04">
      <w:pPr>
        <w:pStyle w:val="4"/>
      </w:pPr>
      <w:bookmarkStart w:id="0" w:name="_GoBack"/>
      <w:r>
        <w:t>三、结论</w:t>
      </w:r>
    </w:p>
    <w:p w14:paraId="724FF827">
      <w:r>
        <w:t>以上问题核心在于系统的生效与导入机制设计未充分考虑“高频更新 + 海量分区”的日常场景。随着订单增长与渠道增多，维护时间持续上升，单靠加人或 RPA 只能缓解、无法根治。建议研发团队从系统层面评估并优化整体逻辑（此处不列具体方案，留给研发充分研判）。</w:t>
      </w:r>
    </w:p>
    <w:bookmarkEnd w:id="0"/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3773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qFormat="1"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qFormat="1" w:unhideWhenUsed="0" w:uiPriority="61" w:semiHidden="0" w:name="Light List Accent 1"/>
    <w:lsdException w:unhideWhenUsed="0" w:uiPriority="62" w:semiHidden="0" w:name="Light Grid Accent 1"/>
    <w:lsdException w:qFormat="1"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qFormat="1" w:unhideWhenUsed="0" w:uiPriority="60" w:semiHidden="0" w:name="Light Shading Accent 2"/>
    <w:lsdException w:unhideWhenUsed="0" w:uiPriority="61" w:semiHidden="0" w:name="Light List Accent 2"/>
    <w:lsdException w:qFormat="1"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qFormat="1"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qFormat="1"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qFormat="1"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微软雅黑" w:hAnsi="微软雅黑" w:eastAsia="微软雅黑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eastAsia="微软雅黑" w:asciiTheme="majorAscii" w:hAnsiTheme="majorAscii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eastAsia="微软雅黑" w:asciiTheme="majorAscii" w:hAnsiTheme="majorAscii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eastAsia="微软雅黑" w:asciiTheme="majorAscii" w:hAnsiTheme="majorAscii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qFormat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qFormat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uiPriority w:val="9"/>
    <w:rPr>
      <w:rFonts w:eastAsia="微软雅黑" w:asciiTheme="majorAscii" w:hAnsiTheme="majorAscii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eastAsia="微软雅黑" w:asciiTheme="majorAscii" w:hAnsiTheme="majorAscii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qFormat/>
    <w:uiPriority w:val="9"/>
    <w:rPr>
      <w:rFonts w:eastAsia="微软雅黑" w:asciiTheme="majorAscii" w:hAnsiTheme="majorAscii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qFormat/>
    <w:uiPriority w:val="99"/>
  </w:style>
  <w:style w:type="character" w:customStyle="1" w:styleId="145">
    <w:name w:val="Body Text 2 Char"/>
    <w:basedOn w:val="132"/>
    <w:link w:val="28"/>
    <w:qFormat/>
    <w:uiPriority w:val="99"/>
  </w:style>
  <w:style w:type="character" w:customStyle="1" w:styleId="146">
    <w:name w:val="Body Text 3 Char"/>
    <w:basedOn w:val="132"/>
    <w:link w:val="17"/>
    <w:qFormat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1201</Words>
  <Characters>1349</Characters>
  <Lines>0</Lines>
  <Paragraphs>0</Paragraphs>
  <TotalTime>1</TotalTime>
  <ScaleCrop>false</ScaleCrop>
  <LinksUpToDate>false</LinksUpToDate>
  <CharactersWithSpaces>1432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清风配酒</cp:lastModifiedBy>
  <dcterms:modified xsi:type="dcterms:W3CDTF">2025-11-01T20:12:29Z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eyJoZGlkIjoiNDYwYjZiMGFmZjUwYWZmM2I3MTRhNWYzMWYxNzFhMjQiLCJ1c2VySWQiOiI2OTY0MzYwODUifQ==</vt:lpwstr>
  </property>
  <property fmtid="{D5CDD505-2E9C-101B-9397-08002B2CF9AE}" pid="3" name="KSOProductBuildVer">
    <vt:lpwstr>2052-12.1.0.23125</vt:lpwstr>
  </property>
  <property fmtid="{D5CDD505-2E9C-101B-9397-08002B2CF9AE}" pid="4" name="ICV">
    <vt:lpwstr>2FC0DC2568E4404EA21B9FFE6869EB75_12</vt:lpwstr>
  </property>
</Properties>
</file>